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ACTIVIDADES  PARA EL ALUMNADO DE 4º</w:t>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11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before="240" w:lineRule="auto"/>
              <w:rPr/>
            </w:pPr>
            <w:r w:rsidDel="00000000" w:rsidR="00000000" w:rsidRPr="00000000">
              <w:rPr>
                <w:b w:val="1"/>
                <w:sz w:val="20"/>
                <w:szCs w:val="20"/>
                <w:rtl w:val="0"/>
              </w:rPr>
              <w:t xml:space="preserve">ORGANIZACIÓN </w:t>
            </w:r>
            <w:r w:rsidDel="00000000" w:rsidR="00000000" w:rsidRPr="00000000">
              <w:rPr>
                <w:b w:val="1"/>
                <w:rtl w:val="0"/>
              </w:rPr>
              <w:t xml:space="preserve">4º. </w:t>
            </w:r>
            <w:r w:rsidDel="00000000" w:rsidR="00000000" w:rsidRPr="00000000">
              <w:rPr>
                <w:rtl w:val="0"/>
              </w:rPr>
              <w:t xml:space="preserve">Como ya tenéis todas las tareas para los quince días, os ponemos a continuación, los ejercicios por donde deberíais ir y lo que debería quedaros por hacer. Recordaros que las tareas están pensadas para que cada día se hagan:</w:t>
            </w:r>
          </w:p>
          <w:p w:rsidR="00000000" w:rsidDel="00000000" w:rsidP="00000000" w:rsidRDefault="00000000" w:rsidRPr="00000000" w14:paraId="00000003">
            <w:pPr>
              <w:numPr>
                <w:ilvl w:val="0"/>
                <w:numId w:val="6"/>
              </w:numPr>
              <w:spacing w:before="240" w:lineRule="auto"/>
              <w:ind w:left="720" w:hanging="360"/>
              <w:rPr/>
            </w:pPr>
            <w:r w:rsidDel="00000000" w:rsidR="00000000" w:rsidRPr="00000000">
              <w:rPr>
                <w:rtl w:val="0"/>
              </w:rPr>
              <w:t xml:space="preserve">dos o tres ejercicios de matemáticas y un par de operaciones.</w:t>
            </w:r>
          </w:p>
          <w:p w:rsidR="00000000" w:rsidDel="00000000" w:rsidP="00000000" w:rsidRDefault="00000000" w:rsidRPr="00000000" w14:paraId="00000004">
            <w:pPr>
              <w:numPr>
                <w:ilvl w:val="0"/>
                <w:numId w:val="6"/>
              </w:numPr>
              <w:ind w:left="720" w:hanging="360"/>
              <w:rPr/>
            </w:pPr>
            <w:r w:rsidDel="00000000" w:rsidR="00000000" w:rsidRPr="00000000">
              <w:rPr>
                <w:rtl w:val="0"/>
              </w:rPr>
              <w:t xml:space="preserve">Lectura durante veinte minutos y un resumen o ejercicio por día.</w:t>
            </w:r>
          </w:p>
          <w:p w:rsidR="00000000" w:rsidDel="00000000" w:rsidP="00000000" w:rsidRDefault="00000000" w:rsidRPr="00000000" w14:paraId="00000005">
            <w:pPr>
              <w:numPr>
                <w:ilvl w:val="0"/>
                <w:numId w:val="6"/>
              </w:numPr>
              <w:ind w:left="720" w:hanging="360"/>
              <w:rPr/>
            </w:pPr>
            <w:r w:rsidDel="00000000" w:rsidR="00000000" w:rsidRPr="00000000">
              <w:rPr>
                <w:rtl w:val="0"/>
              </w:rPr>
              <w:t xml:space="preserve">Repaso de alguno de los puntos de vocabulario de inglés.</w:t>
            </w:r>
          </w:p>
          <w:p w:rsidR="00000000" w:rsidDel="00000000" w:rsidP="00000000" w:rsidRDefault="00000000" w:rsidRPr="00000000" w14:paraId="00000006">
            <w:pPr>
              <w:numPr>
                <w:ilvl w:val="0"/>
                <w:numId w:val="6"/>
              </w:numPr>
              <w:ind w:left="720" w:hanging="360"/>
              <w:rPr/>
            </w:pPr>
            <w:r w:rsidDel="00000000" w:rsidR="00000000" w:rsidRPr="00000000">
              <w:rPr>
                <w:rtl w:val="0"/>
              </w:rPr>
              <w:t xml:space="preserve">Un ejercicio de ciencias.</w:t>
            </w:r>
          </w:p>
          <w:p w:rsidR="00000000" w:rsidDel="00000000" w:rsidP="00000000" w:rsidRDefault="00000000" w:rsidRPr="00000000" w14:paraId="00000007">
            <w:pPr>
              <w:spacing w:before="240" w:lineRule="auto"/>
              <w:rPr/>
            </w:pPr>
            <w:r w:rsidDel="00000000" w:rsidR="00000000" w:rsidRPr="00000000">
              <w:rPr>
                <w:b w:val="1"/>
                <w:rtl w:val="0"/>
              </w:rPr>
              <w:t xml:space="preserve">NOTA: </w:t>
            </w:r>
            <w:r w:rsidDel="00000000" w:rsidR="00000000" w:rsidRPr="00000000">
              <w:rPr>
                <w:rtl w:val="0"/>
              </w:rPr>
              <w:t xml:space="preserve">Todas las actividades salvo las especificadas en folio se realizarán en sus correspondientes cuadernos.</w:t>
            </w:r>
          </w:p>
        </w:tc>
      </w:tr>
      <w:tr>
        <w:trPr>
          <w:trHeight w:val="5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MATE.</w:t>
            </w:r>
          </w:p>
          <w:p w:rsidR="00000000" w:rsidDel="00000000" w:rsidP="00000000" w:rsidRDefault="00000000" w:rsidRPr="00000000" w14:paraId="00000009">
            <w:pPr>
              <w:numPr>
                <w:ilvl w:val="0"/>
                <w:numId w:val="4"/>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la página 144 y después, mira los vídeos de nuevo si lo necesitas.</w:t>
            </w:r>
          </w:p>
          <w:p w:rsidR="00000000" w:rsidDel="00000000" w:rsidP="00000000" w:rsidRDefault="00000000" w:rsidRPr="00000000" w14:paraId="0000000A">
            <w:pPr>
              <w:spacing w:after="240" w:lineRule="auto"/>
              <w:jc w:val="center"/>
              <w:rPr>
                <w:rFonts w:ascii="Times New Roman" w:cs="Times New Roman" w:eastAsia="Times New Roman" w:hAnsi="Times New Roman"/>
                <w:b w:val="1"/>
                <w:color w:val="0000ff"/>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La longitud de medida. El metro</w:t>
              </w:r>
            </w:hyperlink>
            <w:r w:rsidDel="00000000" w:rsidR="00000000" w:rsidRPr="00000000">
              <w:rPr>
                <w:rtl w:val="0"/>
              </w:rPr>
            </w:r>
          </w:p>
          <w:p w:rsidR="00000000" w:rsidDel="00000000" w:rsidP="00000000" w:rsidRDefault="00000000" w:rsidRPr="00000000" w14:paraId="0000000B">
            <w:pPr>
              <w:spacing w:after="240" w:lineRule="auto"/>
              <w:jc w:val="center"/>
              <w:rPr>
                <w:rFonts w:ascii="Times New Roman" w:cs="Times New Roman" w:eastAsia="Times New Roman" w:hAnsi="Times New Roman"/>
                <w:b w:val="1"/>
                <w:color w:val="0000ff"/>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El metro y el centímetro.</w:t>
              </w:r>
            </w:hyperlink>
            <w:r w:rsidDel="00000000" w:rsidR="00000000" w:rsidRPr="00000000">
              <w:rPr>
                <w:rtl w:val="0"/>
              </w:rPr>
            </w:r>
          </w:p>
          <w:p w:rsidR="00000000" w:rsidDel="00000000" w:rsidP="00000000" w:rsidRDefault="00000000" w:rsidRPr="00000000" w14:paraId="0000000C">
            <w:pPr>
              <w:spacing w:after="240" w:before="240" w:lineRule="auto"/>
              <w:jc w:val="center"/>
              <w:rPr>
                <w:rFonts w:ascii="Times New Roman" w:cs="Times New Roman" w:eastAsia="Times New Roman" w:hAnsi="Times New Roman"/>
                <w:b w:val="1"/>
                <w:color w:val="1155cc"/>
                <w:sz w:val="24"/>
                <w:szCs w:val="24"/>
                <w:u w:val="single"/>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Cómo pasar unidades.</w:t>
              </w:r>
            </w:hyperlink>
            <w:r w:rsidDel="00000000" w:rsidR="00000000" w:rsidRPr="00000000">
              <w:rPr>
                <w:rtl w:val="0"/>
              </w:rPr>
            </w:r>
          </w:p>
          <w:p w:rsidR="00000000" w:rsidDel="00000000" w:rsidP="00000000" w:rsidRDefault="00000000" w:rsidRPr="00000000" w14:paraId="0000000D">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 los ejercicios 1 y 2 de página 144 y página 145, 3, 4 y 5.</w:t>
            </w:r>
          </w:p>
          <w:p w:rsidR="00000000" w:rsidDel="00000000" w:rsidP="00000000" w:rsidRDefault="00000000" w:rsidRPr="00000000" w14:paraId="0000000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LENGUA.</w:t>
            </w:r>
          </w:p>
          <w:p w:rsidR="00000000" w:rsidDel="00000000" w:rsidP="00000000" w:rsidRDefault="00000000" w:rsidRPr="00000000" w14:paraId="0000000F">
            <w:pPr>
              <w:numPr>
                <w:ilvl w:val="0"/>
                <w:numId w:val="5"/>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Página 142.</w:t>
            </w:r>
            <w:r w:rsidDel="00000000" w:rsidR="00000000" w:rsidRPr="00000000">
              <w:rPr>
                <w:rFonts w:ascii="Times New Roman" w:cs="Times New Roman" w:eastAsia="Times New Roman" w:hAnsi="Times New Roman"/>
                <w:sz w:val="24"/>
                <w:szCs w:val="24"/>
                <w:rtl w:val="0"/>
              </w:rPr>
              <w:t xml:space="preserve"> Lee detenidamente la regla ortográfica y haz el esquema en tu cuaderno.</w:t>
            </w:r>
            <w:r w:rsidDel="00000000" w:rsidR="00000000" w:rsidRPr="00000000">
              <w:rPr>
                <w:rtl w:val="0"/>
              </w:rPr>
            </w:r>
          </w:p>
          <w:p w:rsidR="00000000" w:rsidDel="00000000" w:rsidP="00000000" w:rsidRDefault="00000000" w:rsidRPr="00000000" w14:paraId="00000010">
            <w:pPr>
              <w:numPr>
                <w:ilvl w:val="0"/>
                <w:numId w:val="3"/>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Después realiza los ejercicios 1, 2, 3 y 4 de esa misma página y 5, 6, 7 y 8 de la página 143.</w:t>
            </w:r>
          </w:p>
          <w:p w:rsidR="00000000" w:rsidDel="00000000" w:rsidP="00000000" w:rsidRDefault="00000000" w:rsidRPr="00000000" w14:paraId="0000001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INGLÉS.</w:t>
            </w:r>
          </w:p>
          <w:p w:rsidR="00000000" w:rsidDel="00000000" w:rsidP="00000000" w:rsidRDefault="00000000" w:rsidRPr="00000000" w14:paraId="0000001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Recordad que ya terminamos los contenidos del trimestre y solo hay que repasar lo aprendido hasta ahora. Para ello, utilizad el libro, cuaderno y las páginas de juegos y vocabulario.</w:t>
            </w:r>
          </w:p>
          <w:p w:rsidR="00000000" w:rsidDel="00000000" w:rsidP="00000000" w:rsidRDefault="00000000" w:rsidRPr="00000000" w14:paraId="00000013">
            <w:pPr>
              <w:numPr>
                <w:ilvl w:val="0"/>
                <w:numId w:val="1"/>
              </w:numPr>
              <w:spacing w:before="24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https://learnenglishkids.britishcouncil.org/es/games</w:t>
              </w:r>
            </w:hyperlink>
            <w:r w:rsidDel="00000000" w:rsidR="00000000" w:rsidRPr="00000000">
              <w:rPr>
                <w:rFonts w:ascii="Times New Roman" w:cs="Times New Roman" w:eastAsia="Times New Roman" w:hAnsi="Times New Roman"/>
                <w:sz w:val="24"/>
                <w:szCs w:val="24"/>
                <w:rtl w:val="0"/>
              </w:rPr>
              <w:t xml:space="preserve">. Recordad que ya hemos visto esta página y podéis jugar, leer y ver videos. Utilizad la lista de la derecha para practicar los topics que hemos trabajado y conocéis.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https://es.lyricstraining.com/</w:t>
              </w:r>
            </w:hyperlink>
            <w:r w:rsidDel="00000000" w:rsidR="00000000" w:rsidRPr="00000000">
              <w:rPr>
                <w:rFonts w:ascii="Times New Roman" w:cs="Times New Roman" w:eastAsia="Times New Roman" w:hAnsi="Times New Roman"/>
                <w:sz w:val="24"/>
                <w:szCs w:val="24"/>
                <w:rtl w:val="0"/>
              </w:rPr>
              <w:t xml:space="preserve">. Para jugar escuchando música, cantando y escribiendo. Fijáos en los colores de las canciones, las verdes son las más fáciles. os mando un pequeño reto artístico. Aunque plástica no es en inglés, os paso este vídeo para que aprendáis una técnica de dibujo. El video es en inglés, pero los pasos son muy muy fáciles de seguir, así que no os desaniméis si veis que no entendéis.</w:t>
            </w:r>
          </w:p>
          <w:p w:rsidR="00000000" w:rsidDel="00000000" w:rsidP="00000000" w:rsidRDefault="00000000" w:rsidRPr="00000000" w14:paraId="00000015">
            <w:pPr>
              <w:pStyle w:val="Heading1"/>
              <w:keepNext w:val="0"/>
              <w:keepLines w:val="0"/>
              <w:shd w:fill="f9f9f9" w:val="clear"/>
              <w:spacing w:after="0" w:before="480" w:lineRule="auto"/>
              <w:jc w:val="center"/>
              <w:rPr>
                <w:rFonts w:ascii="Times New Roman" w:cs="Times New Roman" w:eastAsia="Times New Roman" w:hAnsi="Times New Roman"/>
                <w:b w:val="1"/>
                <w:sz w:val="24"/>
                <w:szCs w:val="24"/>
              </w:rPr>
            </w:pPr>
            <w:bookmarkStart w:colFirst="0" w:colLast="0" w:name="_heading=h.l3zolmf623po" w:id="0"/>
            <w:bookmarkEnd w:id="0"/>
            <w:hyperlink r:id="rId12">
              <w:r w:rsidDel="00000000" w:rsidR="00000000" w:rsidRPr="00000000">
                <w:rPr>
                  <w:rFonts w:ascii="Times New Roman" w:cs="Times New Roman" w:eastAsia="Times New Roman" w:hAnsi="Times New Roman"/>
                  <w:b w:val="1"/>
                  <w:color w:val="1155cc"/>
                  <w:sz w:val="46"/>
                  <w:szCs w:val="46"/>
                  <w:u w:val="single"/>
                  <w:rtl w:val="0"/>
                </w:rPr>
                <w:t xml:space="preserve">Sandra Silberzweig Selfies</w:t>
              </w:r>
            </w:hyperlink>
            <w:r w:rsidDel="00000000" w:rsidR="00000000" w:rsidRPr="00000000">
              <w:rPr>
                <w:rtl w:val="0"/>
              </w:rPr>
            </w:r>
          </w:p>
        </w:tc>
      </w:tr>
    </w:tbl>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7">
      <w:pPr>
        <w:spacing w:after="240" w:before="240" w:lineRule="auto"/>
        <w:jc w:val="center"/>
        <w:rPr>
          <w:b w:val="1"/>
        </w:rPr>
      </w:pPr>
      <w:r w:rsidDel="00000000" w:rsidR="00000000" w:rsidRPr="00000000">
        <w:rPr>
          <w:b w:val="1"/>
          <w:rtl w:val="0"/>
        </w:rPr>
        <w:t xml:space="preserve">CRITERIOS DE CALIFICACIÓN</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ab/>
      </w:r>
      <w:r w:rsidDel="00000000" w:rsidR="00000000" w:rsidRPr="00000000">
        <w:rPr>
          <w:rtl w:val="0"/>
        </w:rPr>
        <w:t xml:space="preserve">Todas las tareas serán revisadas y corregidas por el profesorado pasando a formar parte de la nota correspondiente al porcentaje de “trabajos” de la segunda evaluación.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headerReference r:id="rId1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CD0C4C"/>
    <w:pPr>
      <w:spacing w:after="200"/>
      <w:ind w:left="720"/>
      <w:contextualSpacing w:val="1"/>
    </w:pPr>
    <w:rPr>
      <w:rFonts w:asciiTheme="minorHAnsi" w:cstheme="minorBidi" w:eastAsiaTheme="minorHAnsi" w:hAnsiTheme="minorHAnsi"/>
      <w:lang w:eastAsia="en-US" w:val="es-E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s.lyricstraining.com/" TargetMode="External"/><Relationship Id="rId10" Type="http://schemas.openxmlformats.org/officeDocument/2006/relationships/hyperlink" Target="https://learnenglishkids.britishcouncil.org/es/games" TargetMode="External"/><Relationship Id="rId13" Type="http://schemas.openxmlformats.org/officeDocument/2006/relationships/header" Target="header1.xml"/><Relationship Id="rId12" Type="http://schemas.openxmlformats.org/officeDocument/2006/relationships/hyperlink" Target="https://www.youtube.com/watch?v=W_ZP7Z2UH6M&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7_ByMHwBO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kzrplJ1jvko" TargetMode="External"/><Relationship Id="rId8" Type="http://schemas.openxmlformats.org/officeDocument/2006/relationships/hyperlink" Target="https://www.youtube.com/watch?v=0TxNnk8LC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NVakl5l0zf3bX0c8fmrs2zlg==">AMUW2mXFW+8VzoiRKGHl+SK4L6ppv09I4lAa9Q3AlDFamuTZFFQcahjJcFSNId9VchE0DZI5NVQI9KYVqqvtOCqL/84z0vMiWzNtexocKZZfxNVicXCxuZ12zEsI/snkN8ppl+BVKbmn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2020-03-30T09:19:00Z</dcterms:created>
  <dc:creator>Ani</dc:creator>
</cp:coreProperties>
</file>